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46CE5">
      <w:pPr>
        <w:overflowPunct w:val="0"/>
        <w:bidi w:val="0"/>
        <w:adjustRightInd w:val="0"/>
        <w:snapToGrid w:val="0"/>
        <w:spacing w:line="560" w:lineRule="atLeast"/>
        <w:ind w:firstLine="0" w:firstLineChars="0"/>
        <w:jc w:val="left"/>
        <w:rPr>
          <w:rFonts w:hint="default" w:ascii="Times New Roman" w:hAnsi="Times New Roman" w:eastAsia="方正黑体_GBK" w:cs="Times New Roman"/>
          <w:sz w:val="32"/>
          <w:szCs w:val="32"/>
          <w:lang w:eastAsia="zh-CN"/>
        </w:rPr>
      </w:pPr>
      <w:r>
        <w:rPr>
          <w:rFonts w:hint="default" w:ascii="Times New Roman" w:hAnsi="Times New Roman" w:eastAsia="方正黑体_GBK" w:cs="Times New Roman"/>
          <w:sz w:val="32"/>
          <w:szCs w:val="32"/>
        </w:rPr>
        <w:t>附件</w:t>
      </w:r>
      <w:r>
        <w:rPr>
          <w:rFonts w:hint="default" w:ascii="Times New Roman" w:hAnsi="Times New Roman" w:eastAsia="方正黑体_GBK" w:cs="Times New Roman"/>
          <w:sz w:val="32"/>
          <w:szCs w:val="32"/>
          <w:lang w:val="en-US" w:eastAsia="zh-CN"/>
        </w:rPr>
        <w:t>1</w:t>
      </w:r>
    </w:p>
    <w:p w14:paraId="08BA4D54">
      <w:pPr>
        <w:overflowPunct/>
        <w:bidi w:val="0"/>
        <w:adjustRightInd/>
        <w:snapToGrid w:val="0"/>
        <w:spacing w:line="240" w:lineRule="auto"/>
        <w:ind w:firstLine="0" w:firstLineChars="0"/>
        <w:jc w:val="center"/>
        <w:rPr>
          <w:rFonts w:hint="default" w:ascii="Times New Roman" w:hAnsi="Times New Roman" w:eastAsia="方正小标宋_GBK" w:cs="Times New Roman"/>
          <w:sz w:val="32"/>
          <w:szCs w:val="32"/>
          <w:u w:val="none"/>
          <w:lang w:eastAsia="zh-CN"/>
        </w:rPr>
      </w:pPr>
    </w:p>
    <w:p w14:paraId="43715E00">
      <w:pPr>
        <w:overflowPunct/>
        <w:bidi w:val="0"/>
        <w:adjustRightInd/>
        <w:snapToGrid w:val="0"/>
        <w:spacing w:line="240" w:lineRule="auto"/>
        <w:ind w:firstLine="0" w:firstLineChars="0"/>
        <w:jc w:val="center"/>
        <w:rPr>
          <w:rFonts w:hint="default" w:ascii="Times New Roman" w:hAnsi="Times New Roman" w:eastAsia="方正小标宋_GBK" w:cs="Times New Roman"/>
          <w:sz w:val="32"/>
          <w:szCs w:val="32"/>
        </w:rPr>
      </w:pPr>
      <w:r>
        <w:rPr>
          <w:rFonts w:hint="default" w:ascii="Times New Roman" w:hAnsi="Times New Roman" w:eastAsia="方正小标宋_GBK" w:cs="Times New Roman"/>
          <w:sz w:val="32"/>
          <w:szCs w:val="32"/>
          <w:u w:val="none"/>
          <w:lang w:eastAsia="zh-CN"/>
        </w:rPr>
        <w:t>“磷石膏源头无害化-矿山生态修复应用成套技术研发及工程示范”</w:t>
      </w:r>
      <w:r>
        <w:rPr>
          <w:rFonts w:hint="default" w:ascii="Times New Roman" w:hAnsi="Times New Roman" w:eastAsia="方正小标宋_GBK" w:cs="Times New Roman"/>
          <w:sz w:val="32"/>
          <w:szCs w:val="32"/>
        </w:rPr>
        <w:t>揭榜制项目需求表</w:t>
      </w:r>
    </w:p>
    <w:tbl>
      <w:tblPr>
        <w:tblStyle w:val="4"/>
        <w:tblW w:w="855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517"/>
        <w:gridCol w:w="924"/>
        <w:gridCol w:w="2388"/>
        <w:gridCol w:w="796"/>
        <w:gridCol w:w="268"/>
        <w:gridCol w:w="2126"/>
      </w:tblGrid>
      <w:tr w14:paraId="215D8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056" w:type="dxa"/>
            <w:gridSpan w:val="2"/>
            <w:tcBorders>
              <w:top w:val="single" w:color="auto" w:sz="4" w:space="0"/>
              <w:left w:val="single" w:color="auto" w:sz="4" w:space="0"/>
              <w:bottom w:val="single" w:color="auto" w:sz="4" w:space="0"/>
              <w:right w:val="single" w:color="auto" w:sz="4" w:space="0"/>
            </w:tcBorders>
            <w:noWrap w:val="0"/>
            <w:vAlign w:val="center"/>
          </w:tcPr>
          <w:p w14:paraId="6105E5AD">
            <w:pPr>
              <w:overflowPunct/>
              <w:bidi w:val="0"/>
              <w:adjustRightInd/>
              <w:snapToGrid w:val="0"/>
              <w:spacing w:line="240" w:lineRule="auto"/>
              <w:ind w:firstLine="0" w:firstLineChars="0"/>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所属产业领域或</w:t>
            </w:r>
          </w:p>
          <w:p w14:paraId="5160C1FA">
            <w:pPr>
              <w:overflowPunct/>
              <w:bidi w:val="0"/>
              <w:adjustRightInd/>
              <w:snapToGrid w:val="0"/>
              <w:spacing w:line="240" w:lineRule="auto"/>
              <w:ind w:firstLine="0" w:firstLineChars="0"/>
              <w:jc w:val="center"/>
              <w:rPr>
                <w:rFonts w:hint="default" w:ascii="Times New Roman" w:hAnsi="Times New Roman" w:eastAsia="宋体" w:cs="Times New Roman"/>
                <w:kern w:val="0"/>
                <w:sz w:val="20"/>
                <w:szCs w:val="20"/>
              </w:rPr>
            </w:pPr>
            <w:r>
              <w:rPr>
                <w:rFonts w:hint="default" w:ascii="Times New Roman" w:hAnsi="Times New Roman" w:eastAsia="宋体" w:cs="Times New Roman"/>
                <w:b/>
                <w:bCs/>
                <w:kern w:val="0"/>
                <w:sz w:val="20"/>
                <w:szCs w:val="20"/>
              </w:rPr>
              <w:t>产业链</w:t>
            </w:r>
          </w:p>
        </w:tc>
        <w:tc>
          <w:tcPr>
            <w:tcW w:w="3312" w:type="dxa"/>
            <w:gridSpan w:val="2"/>
            <w:tcBorders>
              <w:top w:val="single" w:color="auto" w:sz="4" w:space="0"/>
              <w:left w:val="single" w:color="auto" w:sz="4" w:space="0"/>
              <w:bottom w:val="single" w:color="auto" w:sz="4" w:space="0"/>
              <w:right w:val="single" w:color="auto" w:sz="4" w:space="0"/>
            </w:tcBorders>
            <w:noWrap w:val="0"/>
            <w:vAlign w:val="center"/>
          </w:tcPr>
          <w:p w14:paraId="38100974">
            <w:pPr>
              <w:overflowPunct/>
              <w:bidi w:val="0"/>
              <w:adjustRightInd/>
              <w:snapToGrid w:val="0"/>
              <w:spacing w:line="240" w:lineRule="auto"/>
              <w:ind w:firstLine="0" w:firstLineChars="0"/>
              <w:jc w:val="center"/>
              <w:rPr>
                <w:rFonts w:hint="default" w:ascii="Times New Roman" w:hAnsi="Times New Roman" w:eastAsia="方正仿宋_GBK" w:cs="Times New Roman"/>
                <w:kern w:val="0"/>
                <w:sz w:val="20"/>
                <w:szCs w:val="20"/>
              </w:rPr>
            </w:pPr>
            <w:r>
              <w:rPr>
                <w:rFonts w:hint="default" w:ascii="Times New Roman" w:hAnsi="Times New Roman" w:eastAsia="方正仿宋_GBK" w:cs="Times New Roman"/>
                <w:kern w:val="0"/>
                <w:sz w:val="20"/>
                <w:szCs w:val="20"/>
              </w:rPr>
              <w:t>工业领域</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18D8396E">
            <w:pPr>
              <w:overflowPunct/>
              <w:bidi w:val="0"/>
              <w:adjustRightInd/>
              <w:snapToGrid w:val="0"/>
              <w:spacing w:line="240" w:lineRule="auto"/>
              <w:ind w:firstLine="0" w:firstLineChars="0"/>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细分</w:t>
            </w:r>
          </w:p>
          <w:p w14:paraId="6D90BA1A">
            <w:pPr>
              <w:overflowPunct/>
              <w:bidi w:val="0"/>
              <w:adjustRightInd/>
              <w:snapToGrid w:val="0"/>
              <w:spacing w:line="240" w:lineRule="auto"/>
              <w:ind w:firstLine="0" w:firstLineChars="0"/>
              <w:jc w:val="center"/>
              <w:rPr>
                <w:rFonts w:hint="default" w:ascii="Times New Roman" w:hAnsi="Times New Roman" w:eastAsia="宋体" w:cs="Times New Roman"/>
                <w:kern w:val="0"/>
                <w:sz w:val="20"/>
                <w:szCs w:val="20"/>
              </w:rPr>
            </w:pPr>
            <w:r>
              <w:rPr>
                <w:rFonts w:hint="default" w:ascii="Times New Roman" w:hAnsi="Times New Roman" w:eastAsia="宋体" w:cs="Times New Roman"/>
                <w:b/>
                <w:bCs/>
                <w:kern w:val="0"/>
                <w:sz w:val="20"/>
                <w:szCs w:val="20"/>
              </w:rPr>
              <w:t>方向</w:t>
            </w:r>
          </w:p>
        </w:tc>
        <w:tc>
          <w:tcPr>
            <w:tcW w:w="2126" w:type="dxa"/>
            <w:tcBorders>
              <w:top w:val="single" w:color="auto" w:sz="4" w:space="0"/>
              <w:left w:val="single" w:color="auto" w:sz="4" w:space="0"/>
              <w:bottom w:val="single" w:color="auto" w:sz="4" w:space="0"/>
              <w:right w:val="single" w:color="auto" w:sz="4" w:space="0"/>
            </w:tcBorders>
            <w:noWrap w:val="0"/>
            <w:vAlign w:val="center"/>
          </w:tcPr>
          <w:p w14:paraId="184D2E24">
            <w:pPr>
              <w:overflowPunct/>
              <w:bidi w:val="0"/>
              <w:adjustRightInd/>
              <w:snapToGrid w:val="0"/>
              <w:spacing w:line="240" w:lineRule="auto"/>
              <w:ind w:firstLine="0" w:firstLineChars="0"/>
              <w:jc w:val="center"/>
              <w:rPr>
                <w:rFonts w:hint="default" w:ascii="Times New Roman" w:hAnsi="Times New Roman" w:eastAsia="宋体" w:cs="Times New Roman"/>
                <w:kern w:val="0"/>
                <w:sz w:val="20"/>
                <w:szCs w:val="20"/>
              </w:rPr>
            </w:pPr>
            <w:r>
              <w:rPr>
                <w:rFonts w:hint="default" w:ascii="Times New Roman" w:hAnsi="Times New Roman" w:eastAsia="方正仿宋_GBK" w:cs="Times New Roman"/>
                <w:kern w:val="0"/>
                <w:sz w:val="20"/>
                <w:szCs w:val="20"/>
              </w:rPr>
              <w:t>化学原料和化学制品制造业</w:t>
            </w:r>
          </w:p>
        </w:tc>
      </w:tr>
      <w:tr w14:paraId="3FF0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2056" w:type="dxa"/>
            <w:gridSpan w:val="2"/>
            <w:tcBorders>
              <w:top w:val="single" w:color="auto" w:sz="4" w:space="0"/>
              <w:left w:val="single" w:color="auto" w:sz="4" w:space="0"/>
              <w:bottom w:val="single" w:color="auto" w:sz="4" w:space="0"/>
              <w:right w:val="single" w:color="auto" w:sz="4" w:space="0"/>
            </w:tcBorders>
            <w:noWrap w:val="0"/>
            <w:vAlign w:val="center"/>
          </w:tcPr>
          <w:p w14:paraId="7B44D1C5">
            <w:pPr>
              <w:overflowPunct/>
              <w:bidi w:val="0"/>
              <w:adjustRightInd/>
              <w:snapToGrid w:val="0"/>
              <w:spacing w:line="240" w:lineRule="auto"/>
              <w:ind w:firstLine="0" w:firstLineChars="0"/>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项目名称</w:t>
            </w:r>
          </w:p>
        </w:tc>
        <w:tc>
          <w:tcPr>
            <w:tcW w:w="6502" w:type="dxa"/>
            <w:gridSpan w:val="5"/>
            <w:tcBorders>
              <w:top w:val="single" w:color="auto" w:sz="4" w:space="0"/>
              <w:left w:val="single" w:color="auto" w:sz="4" w:space="0"/>
              <w:bottom w:val="single" w:color="auto" w:sz="4" w:space="0"/>
              <w:right w:val="single" w:color="auto" w:sz="4" w:space="0"/>
            </w:tcBorders>
            <w:noWrap w:val="0"/>
            <w:vAlign w:val="center"/>
          </w:tcPr>
          <w:p w14:paraId="152792BC">
            <w:pPr>
              <w:overflowPunct/>
              <w:bidi w:val="0"/>
              <w:adjustRightInd/>
              <w:snapToGrid w:val="0"/>
              <w:spacing w:line="240" w:lineRule="auto"/>
              <w:ind w:firstLine="0" w:firstLineChars="0"/>
              <w:jc w:val="center"/>
              <w:rPr>
                <w:rFonts w:hint="default" w:ascii="Times New Roman" w:hAnsi="Times New Roman" w:eastAsia="方正仿宋_GBK" w:cs="Times New Roman"/>
                <w:kern w:val="0"/>
                <w:sz w:val="20"/>
                <w:szCs w:val="20"/>
              </w:rPr>
            </w:pPr>
            <w:r>
              <w:rPr>
                <w:rFonts w:hint="default" w:ascii="Times New Roman" w:hAnsi="Times New Roman" w:eastAsia="方正仿宋_GBK" w:cs="Times New Roman"/>
                <w:kern w:val="0"/>
                <w:sz w:val="20"/>
                <w:szCs w:val="20"/>
              </w:rPr>
              <w:t>磷石膏源头无害化-矿山生态修复应用成套技术研发及工程示范</w:t>
            </w:r>
          </w:p>
        </w:tc>
      </w:tr>
      <w:tr w14:paraId="1E1E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2056" w:type="dxa"/>
            <w:gridSpan w:val="2"/>
            <w:tcBorders>
              <w:top w:val="single" w:color="auto" w:sz="4" w:space="0"/>
              <w:left w:val="single" w:color="auto" w:sz="4" w:space="0"/>
              <w:bottom w:val="single" w:color="auto" w:sz="4" w:space="0"/>
              <w:right w:val="single" w:color="auto" w:sz="4" w:space="0"/>
            </w:tcBorders>
            <w:noWrap w:val="0"/>
            <w:vAlign w:val="center"/>
          </w:tcPr>
          <w:p w14:paraId="26DB768A">
            <w:pPr>
              <w:overflowPunct/>
              <w:bidi w:val="0"/>
              <w:adjustRightInd/>
              <w:snapToGrid w:val="0"/>
              <w:spacing w:line="240" w:lineRule="auto"/>
              <w:ind w:firstLine="0" w:firstLineChars="0"/>
              <w:jc w:val="center"/>
              <w:rPr>
                <w:rFonts w:hint="default" w:ascii="Times New Roman" w:hAnsi="Times New Roman" w:eastAsia="宋体" w:cs="Times New Roman"/>
                <w:kern w:val="0"/>
                <w:sz w:val="20"/>
                <w:szCs w:val="20"/>
              </w:rPr>
            </w:pPr>
            <w:r>
              <w:rPr>
                <w:rFonts w:hint="default" w:ascii="Times New Roman" w:hAnsi="Times New Roman" w:eastAsia="宋体" w:cs="Times New Roman"/>
                <w:b/>
                <w:bCs/>
                <w:kern w:val="0"/>
                <w:sz w:val="20"/>
                <w:szCs w:val="20"/>
              </w:rPr>
              <w:t>发榜单位名称</w:t>
            </w:r>
          </w:p>
        </w:tc>
        <w:tc>
          <w:tcPr>
            <w:tcW w:w="6502" w:type="dxa"/>
            <w:gridSpan w:val="5"/>
            <w:tcBorders>
              <w:top w:val="single" w:color="auto" w:sz="4" w:space="0"/>
              <w:left w:val="single" w:color="auto" w:sz="4" w:space="0"/>
              <w:bottom w:val="single" w:color="auto" w:sz="4" w:space="0"/>
              <w:right w:val="single" w:color="auto" w:sz="4" w:space="0"/>
            </w:tcBorders>
            <w:noWrap w:val="0"/>
            <w:vAlign w:val="center"/>
          </w:tcPr>
          <w:p w14:paraId="4CA4B231">
            <w:pPr>
              <w:overflowPunct/>
              <w:bidi w:val="0"/>
              <w:adjustRightInd/>
              <w:snapToGrid w:val="0"/>
              <w:spacing w:line="240" w:lineRule="auto"/>
              <w:ind w:firstLine="0" w:firstLineChars="0"/>
              <w:jc w:val="center"/>
              <w:rPr>
                <w:rFonts w:hint="default" w:ascii="Times New Roman" w:hAnsi="Times New Roman" w:eastAsia="方正仿宋_GBK" w:cs="Times New Roman"/>
                <w:kern w:val="0"/>
                <w:sz w:val="20"/>
                <w:szCs w:val="20"/>
              </w:rPr>
            </w:pPr>
            <w:r>
              <w:rPr>
                <w:rFonts w:hint="default" w:ascii="Times New Roman" w:hAnsi="Times New Roman" w:eastAsia="方正仿宋_GBK" w:cs="Times New Roman"/>
                <w:kern w:val="0"/>
                <w:sz w:val="20"/>
                <w:szCs w:val="20"/>
              </w:rPr>
              <w:t>云南天安化工有限公司</w:t>
            </w:r>
          </w:p>
        </w:tc>
      </w:tr>
      <w:tr w14:paraId="56A9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2056"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68A3A087">
            <w:pPr>
              <w:overflowPunct/>
              <w:bidi w:val="0"/>
              <w:adjustRightInd/>
              <w:snapToGrid w:val="0"/>
              <w:spacing w:line="240" w:lineRule="auto"/>
              <w:ind w:firstLine="0" w:firstLineChars="0"/>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发榜单位联系人</w:t>
            </w:r>
          </w:p>
        </w:tc>
        <w:tc>
          <w:tcPr>
            <w:tcW w:w="924" w:type="dxa"/>
            <w:tcBorders>
              <w:top w:val="single" w:color="auto" w:sz="4" w:space="0"/>
              <w:left w:val="single" w:color="auto" w:sz="4" w:space="0"/>
              <w:bottom w:val="single" w:color="auto" w:sz="4" w:space="0"/>
              <w:right w:val="single" w:color="auto" w:sz="4" w:space="0"/>
            </w:tcBorders>
            <w:noWrap w:val="0"/>
            <w:vAlign w:val="center"/>
          </w:tcPr>
          <w:p w14:paraId="1788C2E6">
            <w:pPr>
              <w:overflowPunct/>
              <w:bidi w:val="0"/>
              <w:adjustRightInd/>
              <w:snapToGrid w:val="0"/>
              <w:spacing w:line="240" w:lineRule="auto"/>
              <w:ind w:firstLine="0" w:firstLineChars="0"/>
              <w:jc w:val="center"/>
              <w:rPr>
                <w:rFonts w:hint="default" w:ascii="Times New Roman" w:hAnsi="Times New Roman" w:eastAsia="宋体" w:cs="Times New Roman"/>
                <w:kern w:val="0"/>
                <w:sz w:val="20"/>
                <w:szCs w:val="20"/>
              </w:rPr>
            </w:pPr>
            <w:r>
              <w:rPr>
                <w:rFonts w:hint="default" w:ascii="Times New Roman" w:hAnsi="Times New Roman" w:eastAsia="宋体" w:cs="Times New Roman"/>
                <w:b/>
                <w:bCs/>
                <w:kern w:val="0"/>
                <w:sz w:val="20"/>
                <w:szCs w:val="20"/>
              </w:rPr>
              <w:t>姓名</w:t>
            </w:r>
          </w:p>
        </w:tc>
        <w:tc>
          <w:tcPr>
            <w:tcW w:w="2388" w:type="dxa"/>
            <w:tcBorders>
              <w:top w:val="single" w:color="auto" w:sz="4" w:space="0"/>
              <w:left w:val="single" w:color="auto" w:sz="4" w:space="0"/>
              <w:bottom w:val="single" w:color="auto" w:sz="4" w:space="0"/>
              <w:right w:val="single" w:color="auto" w:sz="4" w:space="0"/>
            </w:tcBorders>
            <w:noWrap w:val="0"/>
            <w:vAlign w:val="center"/>
          </w:tcPr>
          <w:p w14:paraId="192E054F">
            <w:pPr>
              <w:overflowPunct/>
              <w:bidi w:val="0"/>
              <w:adjustRightInd/>
              <w:snapToGrid w:val="0"/>
              <w:spacing w:line="240" w:lineRule="auto"/>
              <w:ind w:firstLine="0" w:firstLineChars="0"/>
              <w:jc w:val="center"/>
              <w:rPr>
                <w:rFonts w:hint="default" w:ascii="Times New Roman" w:hAnsi="Times New Roman" w:eastAsia="方正仿宋_GBK" w:cs="Times New Roman"/>
                <w:kern w:val="0"/>
                <w:sz w:val="20"/>
                <w:szCs w:val="20"/>
              </w:rPr>
            </w:pPr>
            <w:r>
              <w:rPr>
                <w:rFonts w:hint="default" w:ascii="Times New Roman" w:hAnsi="Times New Roman" w:eastAsia="方正仿宋_GBK" w:cs="Times New Roman"/>
                <w:kern w:val="0"/>
                <w:sz w:val="20"/>
                <w:szCs w:val="20"/>
              </w:rPr>
              <w:t>文博凯</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08FB0752">
            <w:pPr>
              <w:overflowPunct/>
              <w:bidi w:val="0"/>
              <w:adjustRightInd/>
              <w:snapToGrid w:val="0"/>
              <w:spacing w:line="240" w:lineRule="auto"/>
              <w:ind w:firstLine="0" w:firstLineChars="0"/>
              <w:jc w:val="center"/>
              <w:rPr>
                <w:rFonts w:hint="default" w:ascii="Times New Roman" w:hAnsi="Times New Roman" w:eastAsia="宋体" w:cs="Times New Roman"/>
                <w:kern w:val="0"/>
                <w:sz w:val="20"/>
                <w:szCs w:val="20"/>
              </w:rPr>
            </w:pPr>
            <w:r>
              <w:rPr>
                <w:rFonts w:hint="default" w:ascii="Times New Roman" w:hAnsi="Times New Roman" w:eastAsia="宋体" w:cs="Times New Roman"/>
                <w:b/>
                <w:bCs/>
                <w:kern w:val="0"/>
                <w:sz w:val="20"/>
                <w:szCs w:val="20"/>
              </w:rPr>
              <w:t>职务</w:t>
            </w:r>
          </w:p>
        </w:tc>
        <w:tc>
          <w:tcPr>
            <w:tcW w:w="2394" w:type="dxa"/>
            <w:gridSpan w:val="2"/>
            <w:tcBorders>
              <w:top w:val="single" w:color="auto" w:sz="4" w:space="0"/>
              <w:left w:val="single" w:color="auto" w:sz="4" w:space="0"/>
              <w:bottom w:val="single" w:color="auto" w:sz="4" w:space="0"/>
              <w:right w:val="single" w:color="auto" w:sz="4" w:space="0"/>
            </w:tcBorders>
            <w:noWrap w:val="0"/>
            <w:vAlign w:val="center"/>
          </w:tcPr>
          <w:p w14:paraId="00681C54">
            <w:pPr>
              <w:overflowPunct/>
              <w:bidi w:val="0"/>
              <w:adjustRightInd/>
              <w:snapToGrid w:val="0"/>
              <w:spacing w:line="240" w:lineRule="auto"/>
              <w:ind w:firstLine="0" w:firstLineChars="0"/>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部长</w:t>
            </w:r>
          </w:p>
        </w:tc>
      </w:tr>
      <w:tr w14:paraId="43EB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20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4B6A21A">
            <w:pPr>
              <w:overflowPunct/>
              <w:bidi w:val="0"/>
              <w:adjustRightInd/>
              <w:snapToGrid w:val="0"/>
              <w:spacing w:line="240" w:lineRule="auto"/>
              <w:ind w:firstLine="0" w:firstLineChars="0"/>
              <w:jc w:val="center"/>
              <w:rPr>
                <w:rFonts w:hint="default" w:ascii="Times New Roman" w:hAnsi="Times New Roman" w:eastAsia="宋体" w:cs="Times New Roman"/>
                <w:b/>
                <w:bCs/>
                <w:kern w:val="0"/>
                <w:sz w:val="20"/>
                <w:szCs w:val="20"/>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175E756C">
            <w:pPr>
              <w:overflowPunct/>
              <w:bidi w:val="0"/>
              <w:adjustRightInd/>
              <w:snapToGrid w:val="0"/>
              <w:spacing w:line="240" w:lineRule="auto"/>
              <w:ind w:firstLine="0" w:firstLineChars="0"/>
              <w:jc w:val="center"/>
              <w:rPr>
                <w:rFonts w:hint="default" w:ascii="Times New Roman" w:hAnsi="Times New Roman" w:eastAsia="宋体" w:cs="Times New Roman"/>
                <w:kern w:val="0"/>
                <w:sz w:val="20"/>
                <w:szCs w:val="20"/>
              </w:rPr>
            </w:pPr>
            <w:r>
              <w:rPr>
                <w:rFonts w:hint="default" w:ascii="Times New Roman" w:hAnsi="Times New Roman" w:eastAsia="宋体" w:cs="Times New Roman"/>
                <w:b/>
                <w:bCs/>
                <w:kern w:val="0"/>
                <w:sz w:val="20"/>
                <w:szCs w:val="20"/>
              </w:rPr>
              <w:t>手机</w:t>
            </w:r>
          </w:p>
        </w:tc>
        <w:tc>
          <w:tcPr>
            <w:tcW w:w="2388" w:type="dxa"/>
            <w:tcBorders>
              <w:top w:val="single" w:color="auto" w:sz="4" w:space="0"/>
              <w:left w:val="single" w:color="auto" w:sz="4" w:space="0"/>
              <w:bottom w:val="single" w:color="auto" w:sz="4" w:space="0"/>
              <w:right w:val="single" w:color="auto" w:sz="4" w:space="0"/>
            </w:tcBorders>
            <w:noWrap w:val="0"/>
            <w:vAlign w:val="center"/>
          </w:tcPr>
          <w:p w14:paraId="45E7EBF3">
            <w:pPr>
              <w:overflowPunct/>
              <w:bidi w:val="0"/>
              <w:adjustRightInd/>
              <w:snapToGrid w:val="0"/>
              <w:spacing w:line="240" w:lineRule="auto"/>
              <w:ind w:firstLine="0" w:firstLineChars="0"/>
              <w:jc w:val="center"/>
              <w:rPr>
                <w:rFonts w:hint="default" w:ascii="Times New Roman" w:hAnsi="Times New Roman" w:eastAsia="方正仿宋_GBK" w:cs="Times New Roman"/>
                <w:kern w:val="0"/>
                <w:sz w:val="20"/>
                <w:szCs w:val="20"/>
              </w:rPr>
            </w:pPr>
            <w:r>
              <w:rPr>
                <w:rFonts w:hint="default" w:ascii="Times New Roman" w:hAnsi="Times New Roman" w:eastAsia="方正仿宋_GBK" w:cs="Times New Roman"/>
                <w:kern w:val="0"/>
                <w:sz w:val="20"/>
                <w:szCs w:val="20"/>
              </w:rPr>
              <w:t>13508711541</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019C7072">
            <w:pPr>
              <w:overflowPunct/>
              <w:bidi w:val="0"/>
              <w:adjustRightInd/>
              <w:snapToGrid w:val="0"/>
              <w:spacing w:line="240" w:lineRule="auto"/>
              <w:ind w:firstLine="0" w:firstLineChars="0"/>
              <w:jc w:val="center"/>
              <w:rPr>
                <w:rFonts w:hint="default" w:ascii="Times New Roman" w:hAnsi="Times New Roman" w:eastAsia="宋体" w:cs="Times New Roman"/>
                <w:kern w:val="0"/>
                <w:sz w:val="20"/>
                <w:szCs w:val="20"/>
              </w:rPr>
            </w:pPr>
            <w:r>
              <w:rPr>
                <w:rFonts w:hint="default" w:ascii="Times New Roman" w:hAnsi="Times New Roman" w:eastAsia="宋体" w:cs="Times New Roman"/>
                <w:b/>
                <w:bCs/>
                <w:kern w:val="0"/>
                <w:sz w:val="20"/>
                <w:szCs w:val="20"/>
              </w:rPr>
              <w:t>邮箱</w:t>
            </w:r>
          </w:p>
        </w:tc>
        <w:tc>
          <w:tcPr>
            <w:tcW w:w="2394" w:type="dxa"/>
            <w:gridSpan w:val="2"/>
            <w:tcBorders>
              <w:top w:val="single" w:color="auto" w:sz="4" w:space="0"/>
              <w:left w:val="single" w:color="auto" w:sz="4" w:space="0"/>
              <w:bottom w:val="single" w:color="auto" w:sz="4" w:space="0"/>
              <w:right w:val="single" w:color="auto" w:sz="4" w:space="0"/>
            </w:tcBorders>
            <w:noWrap w:val="0"/>
            <w:vAlign w:val="center"/>
          </w:tcPr>
          <w:p w14:paraId="11068C75">
            <w:pPr>
              <w:overflowPunct/>
              <w:bidi w:val="0"/>
              <w:adjustRightInd/>
              <w:snapToGrid w:val="0"/>
              <w:spacing w:line="240" w:lineRule="auto"/>
              <w:ind w:firstLine="0" w:firstLineChars="0"/>
              <w:jc w:val="center"/>
              <w:rPr>
                <w:rFonts w:hint="default" w:ascii="Times New Roman" w:hAnsi="Times New Roman" w:eastAsia="方正仿宋_GBK" w:cs="Times New Roman"/>
                <w:kern w:val="0"/>
                <w:sz w:val="20"/>
                <w:szCs w:val="20"/>
              </w:rPr>
            </w:pPr>
            <w:r>
              <w:rPr>
                <w:rFonts w:hint="default" w:ascii="Times New Roman" w:hAnsi="Times New Roman" w:eastAsia="方正仿宋_GBK" w:cs="Times New Roman"/>
                <w:kern w:val="0"/>
                <w:sz w:val="20"/>
                <w:szCs w:val="20"/>
              </w:rPr>
              <w:t>15961741@qq.com</w:t>
            </w:r>
          </w:p>
        </w:tc>
      </w:tr>
      <w:tr w14:paraId="58399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3F1DB8BA">
            <w:pPr>
              <w:overflowPunct/>
              <w:bidi w:val="0"/>
              <w:adjustRightInd/>
              <w:snapToGrid w:val="0"/>
              <w:spacing w:line="240" w:lineRule="auto"/>
              <w:ind w:firstLine="0" w:firstLineChars="0"/>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项目需求的</w:t>
            </w:r>
          </w:p>
          <w:p w14:paraId="13831398">
            <w:pPr>
              <w:overflowPunct/>
              <w:bidi w:val="0"/>
              <w:adjustRightInd/>
              <w:snapToGrid w:val="0"/>
              <w:spacing w:line="240" w:lineRule="auto"/>
              <w:ind w:firstLine="0" w:firstLineChars="0"/>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背景与意义</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6F8CC99B">
            <w:pPr>
              <w:overflowPunct/>
              <w:bidi w:val="0"/>
              <w:adjustRightInd/>
              <w:snapToGrid w:val="0"/>
              <w:spacing w:line="240" w:lineRule="auto"/>
              <w:ind w:firstLine="392" w:firstLineChars="200"/>
              <w:rPr>
                <w:rFonts w:hint="default" w:ascii="Times New Roman" w:hAnsi="Times New Roman" w:eastAsia="方正仿宋_GBK" w:cs="Times New Roman"/>
                <w:kern w:val="0"/>
                <w:sz w:val="20"/>
                <w:szCs w:val="20"/>
              </w:rPr>
            </w:pPr>
            <w:r>
              <w:rPr>
                <w:rFonts w:hint="default" w:ascii="Times New Roman" w:hAnsi="Times New Roman" w:eastAsia="方正仿宋_GBK" w:cs="Times New Roman"/>
                <w:kern w:val="0"/>
                <w:sz w:val="20"/>
                <w:szCs w:val="20"/>
              </w:rPr>
              <w:t>为推动无害化磷石膏矿山生态修复等领域应用，国家、省、市先后制定和印发了磷石膏无害化和综合利用方案</w:t>
            </w:r>
            <w:r>
              <w:rPr>
                <w:rFonts w:hint="default" w:ascii="Times New Roman" w:hAnsi="Times New Roman" w:eastAsia="方正仿宋_GBK" w:cs="Times New Roman"/>
                <w:kern w:val="0"/>
                <w:sz w:val="20"/>
                <w:szCs w:val="20"/>
                <w:lang w:eastAsia="zh-CN"/>
              </w:rPr>
              <w:t>，</w:t>
            </w:r>
            <w:r>
              <w:rPr>
                <w:rFonts w:hint="default" w:ascii="Times New Roman" w:hAnsi="Times New Roman" w:eastAsia="方正仿宋_GBK" w:cs="Times New Roman"/>
                <w:kern w:val="0"/>
                <w:sz w:val="20"/>
                <w:szCs w:val="20"/>
              </w:rPr>
              <w:t>同时要求推进技术攻关，体系化推进磷石膏质量在线监测和处理技术、磷石膏环境污染控制技术等，不断探索磷石膏规模化利用新领域。</w:t>
            </w:r>
          </w:p>
          <w:p w14:paraId="488A65E2">
            <w:pPr>
              <w:overflowPunct/>
              <w:bidi w:val="0"/>
              <w:adjustRightInd/>
              <w:snapToGrid w:val="0"/>
              <w:spacing w:line="240" w:lineRule="auto"/>
              <w:ind w:firstLine="392" w:firstLineChars="200"/>
              <w:rPr>
                <w:rFonts w:hint="default" w:ascii="Times New Roman" w:hAnsi="Times New Roman" w:eastAsia="方正仿宋_GBK" w:cs="Times New Roman"/>
                <w:kern w:val="0"/>
                <w:sz w:val="20"/>
                <w:szCs w:val="20"/>
              </w:rPr>
            </w:pPr>
            <w:r>
              <w:rPr>
                <w:rFonts w:hint="default" w:ascii="Times New Roman" w:hAnsi="Times New Roman" w:eastAsia="方正仿宋_GBK" w:cs="Times New Roman"/>
                <w:kern w:val="0"/>
                <w:sz w:val="20"/>
                <w:szCs w:val="20"/>
              </w:rPr>
              <w:t>为贯彻落实国家及地方磷石膏无害化综合利用要求，云南省磷化工行业在磷石膏应用于建筑材料、化工原料、生态修复等领域积极探索，尤其在磷石膏矿山生态修复领域取得了一定成效，然而存在以下共性问题尚需解决：一是湿法磷酸生产过程中磷石膏质量有波动，影响新鲜磷石膏无害化处理质量；另外现有磷石膏无害化处理工艺质量不稳定、效力不匹配，不论是以水洗-石灰中和还是干法混合搅拌的磷石膏无害化处理工艺，都需要一定养护时间方能质量达标，影响企业磷石膏无害化及综合利用效率。二是现阶段无害化处理工艺无法实现各环节的在线监测，不能实时观测磷石膏质量变化而即时调整工艺参数，增加了企业磷石膏无害化处置难度。三是现有以汽车运输为主的磷石膏矿山生态修复应用方式效率低下、成本高、二次污染隐患突出，亟需研究磷石膏源头无害化-矿山生态修复应用全过程降本增效系统解决方案；四是磷石膏矿山生态修复应用环境风险不明确，磷化工行业可持续绿色发展推进困难，亟需研究制定磷石膏矿山生态修复回填风险评估或污染控制技术规范。</w:t>
            </w:r>
          </w:p>
          <w:p w14:paraId="32023D68">
            <w:pPr>
              <w:overflowPunct/>
              <w:bidi w:val="0"/>
              <w:adjustRightInd/>
              <w:snapToGrid w:val="0"/>
              <w:spacing w:line="240" w:lineRule="auto"/>
              <w:ind w:firstLine="0" w:firstLineChars="0"/>
              <w:jc w:val="left"/>
              <w:rPr>
                <w:rFonts w:hint="default" w:ascii="Times New Roman" w:hAnsi="Times New Roman" w:eastAsia="方正仿宋_GBK" w:cs="Times New Roman"/>
                <w:kern w:val="0"/>
                <w:sz w:val="20"/>
                <w:szCs w:val="20"/>
                <w:lang w:eastAsia="zh-CN"/>
              </w:rPr>
            </w:pPr>
            <w:r>
              <w:rPr>
                <w:rFonts w:hint="default" w:ascii="Times New Roman" w:hAnsi="Times New Roman" w:eastAsia="方正仿宋_GBK" w:cs="Times New Roman"/>
                <w:kern w:val="0"/>
                <w:sz w:val="20"/>
                <w:szCs w:val="20"/>
              </w:rPr>
              <w:t>综上所述，全省磷化工行业亟需研究开发经济、低碳、高效、稳定、环境友好的磷石膏源头无害化-矿山生态修复应用成套技术，以解决行业磷石膏智能化、规模化、安全利用技术难题，实现磷石膏不落地净化、无害化及高效利用，项目技术研发对全面推动我省乃至全国的磷石膏无害化、资源化以及全过程污染控制具有重要意义</w:t>
            </w:r>
            <w:r>
              <w:rPr>
                <w:rFonts w:hint="default" w:ascii="Times New Roman" w:hAnsi="Times New Roman" w:eastAsia="方正仿宋_GBK" w:cs="Times New Roman"/>
                <w:kern w:val="0"/>
                <w:sz w:val="20"/>
                <w:szCs w:val="20"/>
                <w:lang w:eastAsia="zh-CN"/>
              </w:rPr>
              <w:t>。</w:t>
            </w:r>
          </w:p>
          <w:p w14:paraId="1623D5FA">
            <w:pPr>
              <w:overflowPunct/>
              <w:bidi w:val="0"/>
              <w:adjustRightInd/>
              <w:snapToGrid w:val="0"/>
              <w:spacing w:line="240" w:lineRule="auto"/>
              <w:ind w:firstLine="392" w:firstLineChars="200"/>
              <w:rPr>
                <w:rFonts w:hint="default" w:ascii="Times New Roman" w:hAnsi="Times New Roman" w:eastAsia="方正仿宋_GBK" w:cs="Times New Roman"/>
                <w:sz w:val="20"/>
                <w:szCs w:val="20"/>
              </w:rPr>
            </w:pPr>
          </w:p>
        </w:tc>
      </w:tr>
      <w:tr w14:paraId="0AE2D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46ACE978">
            <w:pPr>
              <w:overflowPunct/>
              <w:bidi w:val="0"/>
              <w:adjustRightInd/>
              <w:snapToGrid w:val="0"/>
              <w:spacing w:line="240" w:lineRule="auto"/>
              <w:ind w:firstLine="0" w:firstLineChars="0"/>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技术难题</w:t>
            </w:r>
          </w:p>
          <w:p w14:paraId="299DD403">
            <w:pPr>
              <w:overflowPunct/>
              <w:bidi w:val="0"/>
              <w:adjustRightInd/>
              <w:snapToGrid w:val="0"/>
              <w:spacing w:line="240" w:lineRule="auto"/>
              <w:ind w:firstLine="0" w:firstLineChars="0"/>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概述</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3DA08B3D">
            <w:pPr>
              <w:overflowPunct/>
              <w:bidi w:val="0"/>
              <w:adjustRightInd/>
              <w:snapToGrid w:val="0"/>
              <w:spacing w:line="240" w:lineRule="auto"/>
              <w:ind w:firstLine="0" w:firstLineChars="0"/>
              <w:rPr>
                <w:rFonts w:hint="default" w:ascii="Times New Roman" w:hAnsi="Times New Roman" w:eastAsia="方正仿宋_GBK" w:cs="Times New Roman"/>
                <w:b w:val="0"/>
                <w:bCs w:val="0"/>
                <w:sz w:val="20"/>
                <w:szCs w:val="20"/>
                <w:lang w:val="en-US" w:eastAsia="zh-CN"/>
              </w:rPr>
            </w:pPr>
            <w:r>
              <w:rPr>
                <w:rFonts w:hint="default" w:ascii="Times New Roman" w:hAnsi="Times New Roman" w:eastAsia="方正仿宋_GBK" w:cs="Times New Roman"/>
                <w:b w:val="0"/>
                <w:bCs w:val="0"/>
                <w:sz w:val="20"/>
                <w:szCs w:val="20"/>
                <w:lang w:val="en-US" w:eastAsia="zh-CN"/>
              </w:rPr>
              <w:t xml:space="preserve">    存在以下技术难题：</w:t>
            </w:r>
          </w:p>
          <w:p w14:paraId="064DCA97">
            <w:pPr>
              <w:overflowPunct/>
              <w:bidi w:val="0"/>
              <w:adjustRightInd/>
              <w:snapToGrid w:val="0"/>
              <w:spacing w:line="240" w:lineRule="auto"/>
              <w:ind w:firstLine="392" w:firstLineChars="200"/>
              <w:rPr>
                <w:rFonts w:hint="default" w:ascii="Times New Roman" w:hAnsi="Times New Roman" w:eastAsia="方正仿宋_GBK" w:cs="Times New Roman"/>
                <w:sz w:val="20"/>
                <w:szCs w:val="20"/>
              </w:rPr>
            </w:pPr>
            <w:r>
              <w:rPr>
                <w:rFonts w:hint="default" w:ascii="Times New Roman" w:hAnsi="Times New Roman" w:eastAsia="方正仿宋_GBK" w:cs="Times New Roman"/>
                <w:b/>
                <w:bCs/>
                <w:sz w:val="20"/>
                <w:szCs w:val="20"/>
                <w:lang w:val="en-US" w:eastAsia="zh-CN"/>
              </w:rPr>
              <w:t>1.</w:t>
            </w:r>
            <w:r>
              <w:rPr>
                <w:rFonts w:hint="default" w:ascii="Times New Roman" w:hAnsi="Times New Roman" w:eastAsia="方正仿宋_GBK" w:cs="Times New Roman"/>
                <w:b/>
                <w:bCs/>
                <w:sz w:val="20"/>
                <w:szCs w:val="20"/>
              </w:rPr>
              <w:t>磷石膏源头深度净化工艺</w:t>
            </w:r>
            <w:r>
              <w:rPr>
                <w:rFonts w:hint="default" w:ascii="Times New Roman" w:hAnsi="Times New Roman" w:eastAsia="方正仿宋_GBK" w:cs="Times New Roman"/>
                <w:b/>
                <w:bCs/>
                <w:sz w:val="20"/>
                <w:szCs w:val="20"/>
                <w:lang w:eastAsia="zh-CN"/>
              </w:rPr>
              <w:t>。</w:t>
            </w:r>
            <w:r>
              <w:rPr>
                <w:rFonts w:hint="default" w:ascii="Times New Roman" w:hAnsi="Times New Roman" w:eastAsia="方正仿宋_GBK" w:cs="Times New Roman"/>
                <w:sz w:val="20"/>
                <w:szCs w:val="20"/>
              </w:rPr>
              <w:t>目前磷石膏深度净化工艺如水洗、选矿等存在生产流程复杂、资源回收率低、投资成本高、水平衡及处理压力等问题，亟需研究湿法磷酸生产中氟、磷流向特征及磷石膏污染成因，开发基于现有磷石膏过滤水洗系统的不落地深度净化工艺，提高氟、磷回收率，降低磷石膏中有害成分含量。</w:t>
            </w:r>
          </w:p>
          <w:p w14:paraId="0C13E00C">
            <w:pPr>
              <w:overflowPunct/>
              <w:bidi w:val="0"/>
              <w:adjustRightInd/>
              <w:snapToGrid w:val="0"/>
              <w:spacing w:line="240" w:lineRule="auto"/>
              <w:ind w:firstLine="392" w:firstLineChars="200"/>
              <w:rPr>
                <w:rFonts w:hint="default" w:ascii="Times New Roman" w:hAnsi="Times New Roman" w:eastAsia="方正仿宋_GBK" w:cs="Times New Roman"/>
                <w:sz w:val="20"/>
                <w:szCs w:val="20"/>
              </w:rPr>
            </w:pPr>
            <w:bookmarkStart w:id="0" w:name="_Hlk187059803"/>
            <w:r>
              <w:rPr>
                <w:rFonts w:hint="default" w:ascii="Times New Roman" w:hAnsi="Times New Roman" w:eastAsia="方正仿宋_GBK" w:cs="Times New Roman"/>
                <w:b/>
                <w:bCs/>
                <w:sz w:val="20"/>
                <w:szCs w:val="20"/>
                <w:lang w:val="en-US" w:eastAsia="zh-CN"/>
              </w:rPr>
              <w:t>2.磷石膏绿色、智能、高效无害化处理成套技术及装备</w:t>
            </w:r>
            <w:bookmarkEnd w:id="0"/>
            <w:r>
              <w:rPr>
                <w:rFonts w:hint="default" w:ascii="Times New Roman" w:hAnsi="Times New Roman" w:eastAsia="方正仿宋_GBK" w:cs="Times New Roman"/>
                <w:b/>
                <w:bCs/>
                <w:sz w:val="20"/>
                <w:szCs w:val="20"/>
                <w:lang w:val="en-US" w:eastAsia="zh-CN"/>
              </w:rPr>
              <w:t>。</w:t>
            </w:r>
            <w:r>
              <w:rPr>
                <w:rFonts w:hint="default" w:ascii="Times New Roman" w:hAnsi="Times New Roman" w:eastAsia="方正仿宋_GBK" w:cs="Times New Roman"/>
                <w:sz w:val="20"/>
                <w:szCs w:val="20"/>
              </w:rPr>
              <w:t>现有磷石膏无害化处理技术效率低下，无法满足100%无害化处理需求，且缺乏质量监控和智能化控制。需研发与磷石膏实时产量、质量匹配的高效无害化处理工艺，提高处理质量，实现不落地无害化处理。同时，研究园区固体废物协同处理工艺，构建循环发展模式，降低处理成本。现有磷石膏无害化处理工艺效率低下，无法满足100%无害化处理磷石膏的需求，且缺乏质量监控和智能化控制。亟需研发与磷石膏实时产量、质量匹配的高效无害化处理工艺，提高处理质量，实现磷石膏不落地无害化处理。同时研究园区固体废物协同磷石膏无害化处理工艺，构建循环发展模式，降低处理成本。</w:t>
            </w:r>
          </w:p>
          <w:p w14:paraId="3780228A">
            <w:pPr>
              <w:overflowPunct/>
              <w:bidi w:val="0"/>
              <w:adjustRightInd/>
              <w:snapToGrid w:val="0"/>
              <w:spacing w:line="240" w:lineRule="auto"/>
              <w:ind w:firstLine="392" w:firstLineChars="200"/>
              <w:rPr>
                <w:rFonts w:hint="default" w:ascii="Times New Roman" w:hAnsi="Times New Roman" w:eastAsia="方正仿宋_GBK" w:cs="Times New Roman"/>
                <w:sz w:val="20"/>
                <w:szCs w:val="20"/>
              </w:rPr>
            </w:pPr>
            <w:bookmarkStart w:id="1" w:name="_Hlk187059969"/>
            <w:r>
              <w:rPr>
                <w:rFonts w:hint="default" w:ascii="Times New Roman" w:hAnsi="Times New Roman" w:eastAsia="方正仿宋_GBK" w:cs="Times New Roman"/>
                <w:b/>
                <w:bCs/>
                <w:sz w:val="20"/>
                <w:szCs w:val="20"/>
                <w:lang w:val="en-US" w:eastAsia="zh-CN"/>
              </w:rPr>
              <w:t>3.磷石膏无害化-矿山生态修复应用全生命周期污染控制及环境风险评估标准体系建设。</w:t>
            </w:r>
            <w:r>
              <w:rPr>
                <w:rFonts w:hint="default" w:ascii="Times New Roman" w:hAnsi="Times New Roman" w:eastAsia="方正仿宋_GBK" w:cs="Times New Roman"/>
                <w:sz w:val="20"/>
                <w:szCs w:val="20"/>
              </w:rPr>
              <w:t>通过系统研究和示范工程监测，建立磷石膏在矿山生态修复应用中的污染控制及风险评估标准体系，为行业提供规范指导，促进磷石膏的综合利用。</w:t>
            </w:r>
            <w:bookmarkEnd w:id="1"/>
          </w:p>
          <w:p w14:paraId="23FAC71F">
            <w:pPr>
              <w:overflowPunct/>
              <w:bidi w:val="0"/>
              <w:adjustRightInd/>
              <w:snapToGrid w:val="0"/>
              <w:spacing w:line="240" w:lineRule="auto"/>
              <w:ind w:firstLine="392" w:firstLineChars="200"/>
              <w:rPr>
                <w:rFonts w:hint="default" w:ascii="Times New Roman" w:hAnsi="Times New Roman" w:eastAsia="方正仿宋_GBK" w:cs="Times New Roman"/>
                <w:sz w:val="20"/>
                <w:szCs w:val="20"/>
              </w:rPr>
            </w:pPr>
          </w:p>
        </w:tc>
      </w:tr>
      <w:tr w14:paraId="38C6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79BEB525">
            <w:pPr>
              <w:overflowPunct/>
              <w:bidi w:val="0"/>
              <w:adjustRightInd/>
              <w:snapToGrid w:val="0"/>
              <w:spacing w:line="240" w:lineRule="auto"/>
              <w:ind w:firstLine="0" w:firstLineChars="0"/>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研究内容</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35F04E1E">
            <w:pPr>
              <w:overflowPunct/>
              <w:bidi w:val="0"/>
              <w:adjustRightInd/>
              <w:snapToGrid w:val="0"/>
              <w:spacing w:line="240" w:lineRule="auto"/>
              <w:ind w:firstLine="392" w:firstLineChars="200"/>
              <w:rPr>
                <w:rFonts w:hint="default" w:ascii="Times New Roman" w:hAnsi="Times New Roman" w:eastAsia="方正仿宋_GBK" w:cs="Times New Roman"/>
                <w:sz w:val="20"/>
                <w:szCs w:val="20"/>
              </w:rPr>
            </w:pPr>
            <w:r>
              <w:rPr>
                <w:rFonts w:hint="default" w:ascii="Times New Roman" w:hAnsi="Times New Roman" w:eastAsia="方正仿宋_GBK" w:cs="Times New Roman"/>
                <w:sz w:val="20"/>
                <w:szCs w:val="20"/>
              </w:rPr>
              <w:t>主要研究内容如下：</w:t>
            </w:r>
          </w:p>
          <w:p w14:paraId="4F4C976E">
            <w:pPr>
              <w:overflowPunct/>
              <w:bidi w:val="0"/>
              <w:adjustRightInd/>
              <w:snapToGrid w:val="0"/>
              <w:spacing w:line="240" w:lineRule="auto"/>
              <w:ind w:firstLine="392" w:firstLineChars="200"/>
              <w:rPr>
                <w:rFonts w:hint="default" w:ascii="Times New Roman" w:hAnsi="Times New Roman" w:eastAsia="方正仿宋_GBK" w:cs="Times New Roman"/>
                <w:sz w:val="20"/>
                <w:szCs w:val="20"/>
              </w:rPr>
            </w:pPr>
            <w:r>
              <w:rPr>
                <w:rFonts w:hint="default" w:ascii="Times New Roman" w:hAnsi="Times New Roman" w:eastAsia="方正仿宋_GBK" w:cs="Times New Roman"/>
                <w:b/>
                <w:bCs/>
                <w:sz w:val="20"/>
                <w:szCs w:val="20"/>
                <w:lang w:val="en-US" w:eastAsia="zh-CN"/>
              </w:rPr>
              <w:t>1.</w:t>
            </w:r>
            <w:r>
              <w:rPr>
                <w:rFonts w:hint="default" w:ascii="Times New Roman" w:hAnsi="Times New Roman" w:eastAsia="方正仿宋_GBK" w:cs="Times New Roman"/>
                <w:b/>
                <w:bCs/>
                <w:sz w:val="20"/>
                <w:szCs w:val="20"/>
              </w:rPr>
              <w:t>湿法磷酸磷石膏净化工艺研究</w:t>
            </w:r>
            <w:r>
              <w:rPr>
                <w:rFonts w:hint="default" w:ascii="Times New Roman" w:hAnsi="Times New Roman" w:eastAsia="方正仿宋_GBK" w:cs="Times New Roman"/>
                <w:b/>
                <w:bCs/>
                <w:sz w:val="20"/>
                <w:szCs w:val="20"/>
                <w:lang w:eastAsia="zh-CN"/>
              </w:rPr>
              <w:t>。</w:t>
            </w:r>
            <w:r>
              <w:rPr>
                <w:rFonts w:hint="default" w:ascii="Times New Roman" w:hAnsi="Times New Roman" w:eastAsia="方正仿宋_GBK" w:cs="Times New Roman"/>
                <w:sz w:val="20"/>
                <w:szCs w:val="20"/>
              </w:rPr>
              <w:t>基于湿法磷酸生产特征，解析典型湿法磷酸生产工艺转晶料浆过滤、水洗生产周期与磷石膏质量变化规律及成因，构建典型湿法磷酸物质流向及平衡体系，通过实验室仿真模拟转晶料浆过滤、水洗系统，研究基于磷酸生产系统的磷石膏净化及氟、磷资源回收工艺。</w:t>
            </w:r>
          </w:p>
          <w:p w14:paraId="703C9B55">
            <w:pPr>
              <w:overflowPunct/>
              <w:bidi w:val="0"/>
              <w:adjustRightInd/>
              <w:snapToGrid w:val="0"/>
              <w:spacing w:line="240" w:lineRule="auto"/>
              <w:ind w:firstLine="392" w:firstLineChars="200"/>
              <w:rPr>
                <w:rFonts w:hint="default" w:ascii="Times New Roman" w:hAnsi="Times New Roman" w:eastAsia="方正仿宋_GBK" w:cs="Times New Roman"/>
                <w:sz w:val="20"/>
                <w:szCs w:val="20"/>
              </w:rPr>
            </w:pPr>
            <w:r>
              <w:rPr>
                <w:rFonts w:hint="default" w:ascii="Times New Roman" w:hAnsi="Times New Roman" w:eastAsia="方正仿宋_GBK" w:cs="Times New Roman"/>
                <w:b/>
                <w:bCs/>
                <w:sz w:val="20"/>
                <w:szCs w:val="20"/>
                <w:lang w:val="en-US" w:eastAsia="zh-CN"/>
              </w:rPr>
              <w:t>2.磷石膏绿色、智能、高效无害化处理成套技术研究及装备开发。</w:t>
            </w:r>
            <w:r>
              <w:rPr>
                <w:rFonts w:hint="default" w:ascii="Times New Roman" w:hAnsi="Times New Roman" w:eastAsia="方正仿宋_GBK" w:cs="Times New Roman"/>
                <w:sz w:val="20"/>
                <w:szCs w:val="20"/>
              </w:rPr>
              <w:t>开展磷石膏氟、磷赋存状态及释放机理研究，阐明影响磷石膏无害化处理质量及效率的限制性因素，提出和验证磷石膏高效无害化处理优化措施；研究区域典型固体废物成份及赋存形态，开展典型固体废物（气化灰渣）协同磷石膏无害化处理工艺研究，确定最佳工艺参数；研究磷石膏料浆液-固体系溶质迁移规律，解析料浆体系固-液溶质平衡逻辑关系，提出磷石膏质量在线监测关键技术解决方案。基于上述系统研究成果，开发磷石膏无害化处理全过程数据采集-中心运算-指令反馈实施PID控制逻辑，制定固体废物协同磷石膏智能化无害化处理技术成套装备工艺包，建设磷石膏无害化处理示范生产线，开展系统工业化试验和数据采集，进一步优化磷石膏无害化处理工艺及系统控制逻辑，形成成套磷石膏高效智能化无害化处理技术体系。</w:t>
            </w:r>
          </w:p>
          <w:p w14:paraId="1C5C8196">
            <w:pPr>
              <w:overflowPunct/>
              <w:bidi w:val="0"/>
              <w:adjustRightInd/>
              <w:snapToGrid w:val="0"/>
              <w:spacing w:line="240" w:lineRule="auto"/>
              <w:ind w:firstLine="392" w:firstLineChars="200"/>
              <w:rPr>
                <w:rFonts w:hint="default" w:ascii="Times New Roman" w:hAnsi="Times New Roman" w:eastAsia="方正仿宋_GBK" w:cs="Times New Roman"/>
                <w:b/>
                <w:bCs/>
                <w:sz w:val="20"/>
                <w:szCs w:val="20"/>
                <w:lang w:val="en-US" w:eastAsia="zh-CN"/>
              </w:rPr>
            </w:pPr>
            <w:r>
              <w:rPr>
                <w:rFonts w:hint="default" w:ascii="Times New Roman" w:hAnsi="Times New Roman" w:eastAsia="方正仿宋_GBK" w:cs="Times New Roman"/>
                <w:b/>
                <w:bCs/>
                <w:sz w:val="20"/>
                <w:szCs w:val="20"/>
                <w:lang w:val="en-US" w:eastAsia="zh-CN"/>
              </w:rPr>
              <w:t>3.磷石膏无害化-矿山生态修复全生命周期污染控制及风险评估体系研究。</w:t>
            </w:r>
          </w:p>
          <w:p w14:paraId="78337AD9">
            <w:pPr>
              <w:overflowPunct/>
              <w:bidi w:val="0"/>
              <w:adjustRightInd/>
              <w:snapToGrid w:val="0"/>
              <w:spacing w:line="240" w:lineRule="auto"/>
              <w:ind w:firstLine="392" w:firstLineChars="200"/>
              <w:rPr>
                <w:rFonts w:hint="default" w:ascii="Times New Roman" w:hAnsi="Times New Roman" w:eastAsia="方正仿宋_GBK" w:cs="Times New Roman"/>
                <w:sz w:val="20"/>
                <w:szCs w:val="20"/>
              </w:rPr>
            </w:pPr>
            <w:r>
              <w:rPr>
                <w:rFonts w:hint="default" w:ascii="Times New Roman" w:hAnsi="Times New Roman" w:eastAsia="方正仿宋_GBK" w:cs="Times New Roman"/>
                <w:sz w:val="20"/>
                <w:szCs w:val="20"/>
              </w:rPr>
              <w:t>改性磷石膏潜在环境风险研究，通过对磷石膏原样和无害化处理后磷石膏开展特性分析，获取改性磷石膏充填体的物理化学特性，研究典型污染物的赋存形态，识别潜在环境风险。编制《水文地质调查》、《工程地质勘查》、《环境本底值调查》等，实施环境监测，开展矿山生态修复磷石膏回填污染扩散机制研究，基于回填场景、工艺、回填质量控制要求，识别磷石膏回填的主要污染扩散机制及环境影响因素。通过模拟酸雨淋溶、淡水浸泡、碳化、干湿循环和冻融循环等条件下磷石膏回填材料的性能变化规律，研究回填材料中污染物的长期释放特征，厘清污染物长期释放规律，构建风险评估模型和环境风险评估方法学。</w:t>
            </w:r>
          </w:p>
        </w:tc>
      </w:tr>
      <w:tr w14:paraId="0AD6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70D7A4F3">
            <w:pPr>
              <w:overflowPunct/>
              <w:bidi w:val="0"/>
              <w:adjustRightInd/>
              <w:snapToGrid w:val="0"/>
              <w:spacing w:line="240" w:lineRule="auto"/>
              <w:ind w:firstLine="0" w:firstLineChars="0"/>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预期技术目标</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5468D192">
            <w:pPr>
              <w:overflowPunct/>
              <w:bidi w:val="0"/>
              <w:adjustRightInd/>
              <w:snapToGrid w:val="0"/>
              <w:spacing w:line="240" w:lineRule="auto"/>
              <w:ind w:firstLine="392" w:firstLineChars="200"/>
              <w:rPr>
                <w:rFonts w:hint="default" w:ascii="Times New Roman" w:hAnsi="Times New Roman" w:eastAsia="方正仿宋_GBK" w:cs="Times New Roman"/>
                <w:sz w:val="20"/>
                <w:szCs w:val="20"/>
              </w:rPr>
            </w:pPr>
            <w:r>
              <w:rPr>
                <w:rFonts w:hint="default" w:ascii="Times New Roman" w:hAnsi="Times New Roman" w:eastAsia="方正仿宋_GBK" w:cs="Times New Roman"/>
                <w:b/>
                <w:bCs/>
                <w:sz w:val="20"/>
                <w:szCs w:val="20"/>
                <w:lang w:val="en-US" w:eastAsia="zh-CN"/>
              </w:rPr>
              <w:t>1.</w:t>
            </w:r>
            <w:r>
              <w:rPr>
                <w:rFonts w:hint="default" w:ascii="Times New Roman" w:hAnsi="Times New Roman" w:eastAsia="方正仿宋_GBK" w:cs="Times New Roman"/>
                <w:b/>
                <w:bCs/>
                <w:sz w:val="20"/>
                <w:szCs w:val="20"/>
              </w:rPr>
              <w:t>磷石膏不落地净化</w:t>
            </w:r>
            <w:r>
              <w:rPr>
                <w:rFonts w:hint="default" w:ascii="Times New Roman" w:hAnsi="Times New Roman" w:eastAsia="方正仿宋_GBK" w:cs="Times New Roman"/>
                <w:b/>
                <w:bCs/>
                <w:sz w:val="20"/>
                <w:szCs w:val="20"/>
                <w:lang w:eastAsia="zh-CN"/>
              </w:rPr>
              <w:t>。</w:t>
            </w:r>
            <w:r>
              <w:rPr>
                <w:rFonts w:hint="default" w:ascii="Times New Roman" w:hAnsi="Times New Roman" w:eastAsia="方正仿宋_GBK" w:cs="Times New Roman"/>
                <w:sz w:val="20"/>
                <w:szCs w:val="20"/>
              </w:rPr>
              <w:t>通过对湿法磷酸转晶料浆过滤水洗系统开展深度研究，制定磷石膏不落地净化技术改进方案，实现湿法磷酸产生的磷石膏质量提升，具体为转晶料浆水洗过滤后产生的新鲜磷石膏按照HJ557开展毒性浸出试验，浸出液磷酸盐含量≤200mg/L，氟化物含量≤100mg/L。处理后磷石膏满足《改性磷石膏用于矿山废弃地生态修复回填技术规范（DB53/T 1269-2024）改性磷石膏浸出液指标要求。</w:t>
            </w:r>
          </w:p>
          <w:p w14:paraId="008950F3">
            <w:pPr>
              <w:overflowPunct/>
              <w:bidi w:val="0"/>
              <w:adjustRightInd/>
              <w:snapToGrid w:val="0"/>
              <w:spacing w:line="240" w:lineRule="auto"/>
              <w:ind w:firstLine="392" w:firstLineChars="200"/>
              <w:rPr>
                <w:rFonts w:hint="default" w:ascii="Times New Roman" w:hAnsi="Times New Roman" w:eastAsia="方正仿宋_GBK" w:cs="Times New Roman"/>
                <w:sz w:val="20"/>
                <w:szCs w:val="20"/>
              </w:rPr>
            </w:pPr>
            <w:r>
              <w:rPr>
                <w:rFonts w:hint="default" w:ascii="Times New Roman" w:hAnsi="Times New Roman" w:eastAsia="方正仿宋_GBK" w:cs="Times New Roman"/>
                <w:b/>
                <w:bCs/>
                <w:sz w:val="20"/>
                <w:szCs w:val="20"/>
                <w:lang w:val="en-US" w:eastAsia="zh-CN"/>
              </w:rPr>
              <w:t>2.气化灰渣协同磷石膏无害化处理工艺研发。</w:t>
            </w:r>
            <w:r>
              <w:rPr>
                <w:rFonts w:hint="default" w:ascii="Times New Roman" w:hAnsi="Times New Roman" w:eastAsia="方正仿宋_GBK" w:cs="Times New Roman"/>
                <w:sz w:val="20"/>
                <w:szCs w:val="20"/>
              </w:rPr>
              <w:t>研究开发一种气化灰渣协同磷石膏无害化处理技术，磷石膏无害化处理药剂气化灰渣占比不低于50%。</w:t>
            </w:r>
          </w:p>
          <w:p w14:paraId="0A83D86C">
            <w:pPr>
              <w:overflowPunct/>
              <w:bidi w:val="0"/>
              <w:adjustRightInd/>
              <w:snapToGrid w:val="0"/>
              <w:spacing w:line="240" w:lineRule="auto"/>
              <w:ind w:firstLine="392" w:firstLineChars="200"/>
              <w:rPr>
                <w:rFonts w:hint="default" w:ascii="Times New Roman" w:hAnsi="Times New Roman" w:eastAsia="方正仿宋_GBK" w:cs="Times New Roman"/>
                <w:sz w:val="20"/>
                <w:szCs w:val="20"/>
              </w:rPr>
            </w:pPr>
            <w:r>
              <w:rPr>
                <w:rFonts w:hint="default" w:ascii="Times New Roman" w:hAnsi="Times New Roman" w:eastAsia="方正仿宋_GBK" w:cs="Times New Roman"/>
                <w:b/>
                <w:bCs/>
                <w:sz w:val="20"/>
                <w:szCs w:val="20"/>
                <w:lang w:val="en-US" w:eastAsia="zh-CN"/>
              </w:rPr>
              <w:t>3.磷石膏高效、智能源头无害化成套工艺技术及装备研发。</w:t>
            </w:r>
            <w:r>
              <w:rPr>
                <w:rFonts w:hint="default" w:ascii="Times New Roman" w:hAnsi="Times New Roman" w:eastAsia="方正仿宋_GBK" w:cs="Times New Roman"/>
                <w:sz w:val="20"/>
                <w:szCs w:val="20"/>
              </w:rPr>
              <w:t>基于磷石膏净化、固废协同研究成果，研究磷石膏高效、智能化不落地无害化处理工艺技术1项，开发磷石膏智能化处理成套装备，满足天安化工磷石膏100%无害化处理需求，装备处理能力不低于600t/h，磷石膏无害化处理后呈浆体状以满足高效管道输送要求；指导建成500万吨/年的膏磷石膏源头无害化生产线，同时满足新增和库存磷石膏无害化处理，处理后磷石膏满足第I类一般工业固废指标要求，下线无害化磷石膏质量达标率98%；无害化磷石膏料浆固含量45%～50%，磷石膏综合利用成本较2023年下降30%，开展工程示范应用。</w:t>
            </w:r>
          </w:p>
          <w:p w14:paraId="6AAAFB06">
            <w:pPr>
              <w:overflowPunct/>
              <w:bidi w:val="0"/>
              <w:adjustRightInd/>
              <w:snapToGrid w:val="0"/>
              <w:spacing w:line="240" w:lineRule="auto"/>
              <w:ind w:firstLine="392" w:firstLineChars="200"/>
              <w:rPr>
                <w:rFonts w:hint="default" w:ascii="Times New Roman" w:hAnsi="Times New Roman" w:eastAsia="方正仿宋_GBK" w:cs="Times New Roman"/>
                <w:sz w:val="20"/>
                <w:szCs w:val="20"/>
              </w:rPr>
            </w:pPr>
            <w:r>
              <w:rPr>
                <w:rFonts w:hint="default" w:ascii="Times New Roman" w:hAnsi="Times New Roman" w:eastAsia="方正仿宋_GBK" w:cs="Times New Roman"/>
                <w:b/>
                <w:bCs/>
                <w:sz w:val="20"/>
                <w:szCs w:val="20"/>
                <w:lang w:val="en-US" w:eastAsia="zh-CN"/>
              </w:rPr>
              <w:t>4.磷石膏无害化处理-矿山生态修复全生命周期评价。</w:t>
            </w:r>
            <w:r>
              <w:rPr>
                <w:rFonts w:hint="default" w:ascii="Times New Roman" w:hAnsi="Times New Roman" w:eastAsia="方正仿宋_GBK" w:cs="Times New Roman"/>
                <w:sz w:val="20"/>
                <w:szCs w:val="20"/>
              </w:rPr>
              <w:t>研究制定磷石膏无害化、矿山生态修复应用全生命周期污染控制技术规范1项（国家级），构建磷石膏矿山生态修复环境风险评估方法学，指导行业规范开展磷石膏综合利用。</w:t>
            </w:r>
          </w:p>
        </w:tc>
      </w:tr>
      <w:tr w14:paraId="71426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3E58E476">
            <w:pPr>
              <w:overflowPunct/>
              <w:bidi w:val="0"/>
              <w:adjustRightInd/>
              <w:snapToGrid w:val="0"/>
              <w:spacing w:line="240" w:lineRule="auto"/>
              <w:ind w:firstLine="0" w:firstLineChars="0"/>
              <w:jc w:val="both"/>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预期经济、社会</w:t>
            </w:r>
            <w:r>
              <w:rPr>
                <w:rFonts w:hint="default" w:ascii="Times New Roman" w:hAnsi="Times New Roman" w:eastAsia="宋体" w:cs="Times New Roman"/>
                <w:b/>
                <w:bCs/>
                <w:kern w:val="0"/>
                <w:sz w:val="20"/>
                <w:szCs w:val="20"/>
                <w:lang w:eastAsia="zh-CN"/>
              </w:rPr>
              <w:t>、生态</w:t>
            </w:r>
            <w:r>
              <w:rPr>
                <w:rFonts w:hint="default" w:ascii="Times New Roman" w:hAnsi="Times New Roman" w:eastAsia="宋体" w:cs="Times New Roman"/>
                <w:b/>
                <w:bCs/>
                <w:kern w:val="0"/>
                <w:sz w:val="20"/>
                <w:szCs w:val="20"/>
              </w:rPr>
              <w:t>效益</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480AAE5C">
            <w:pPr>
              <w:overflowPunct/>
              <w:bidi w:val="0"/>
              <w:adjustRightInd/>
              <w:snapToGrid w:val="0"/>
              <w:spacing w:line="240" w:lineRule="auto"/>
              <w:ind w:firstLine="392" w:firstLineChars="200"/>
              <w:rPr>
                <w:rFonts w:hint="default" w:ascii="Times New Roman" w:hAnsi="Times New Roman" w:eastAsia="方正仿宋_GBK" w:cs="Times New Roman"/>
                <w:b/>
                <w:bCs/>
                <w:sz w:val="20"/>
                <w:szCs w:val="20"/>
                <w:lang w:val="en-US" w:eastAsia="zh-CN"/>
              </w:rPr>
            </w:pPr>
            <w:r>
              <w:rPr>
                <w:rFonts w:hint="default" w:ascii="Times New Roman" w:hAnsi="Times New Roman" w:eastAsia="方正仿宋_GBK" w:cs="Times New Roman"/>
                <w:b/>
                <w:bCs/>
                <w:sz w:val="20"/>
                <w:szCs w:val="20"/>
                <w:lang w:val="en-US" w:eastAsia="zh-CN"/>
              </w:rPr>
              <w:t>1.经济效益</w:t>
            </w:r>
          </w:p>
          <w:p w14:paraId="632601F6">
            <w:pPr>
              <w:overflowPunct/>
              <w:bidi w:val="0"/>
              <w:adjustRightInd/>
              <w:snapToGrid w:val="0"/>
              <w:spacing w:line="240" w:lineRule="auto"/>
              <w:ind w:firstLine="392" w:firstLineChars="200"/>
              <w:rPr>
                <w:rFonts w:hint="default" w:ascii="Times New Roman" w:hAnsi="Times New Roman" w:eastAsia="方正仿宋_GBK" w:cs="Times New Roman"/>
                <w:kern w:val="0"/>
                <w:sz w:val="20"/>
                <w:szCs w:val="20"/>
              </w:rPr>
            </w:pPr>
            <w:r>
              <w:rPr>
                <w:rFonts w:hint="default" w:ascii="Times New Roman" w:hAnsi="Times New Roman" w:eastAsia="方正仿宋_GBK" w:cs="Times New Roman"/>
                <w:kern w:val="0"/>
                <w:sz w:val="20"/>
                <w:szCs w:val="20"/>
              </w:rPr>
              <w:t>本项目的实施经济效益主要体现在以下几个方面：一方面，本项目在湿法磷酸生产转晶料浆过滤回收氟、磷工段开展技术升级，提高湿法磷酸生产氟、磷资源直收率，减少因磷石膏带走的氟、磷资源损失，直接提高企业生产效益。另外一方，项目实施全面降低磷石膏综合利用费用，实现降本增效；一是前端净化后的磷石膏无害化处理成本大幅下降；二是采用固体废物协同磷石膏无害化处理，实现固体废物资源化降低固体废物处置成本的同时降低磷石膏无害化处理成本；三是实现磷石膏不落地净化、无害化、终端应用，避免现有多次装卸成本；四是改变传统磷石膏综合利用汽车运输方式，研究高固含量磷石膏料浆输送工艺，大幅提升输送效率和降低运输成本。</w:t>
            </w:r>
          </w:p>
          <w:p w14:paraId="57918F1E">
            <w:pPr>
              <w:overflowPunct/>
              <w:bidi w:val="0"/>
              <w:adjustRightInd/>
              <w:snapToGrid w:val="0"/>
              <w:spacing w:line="240" w:lineRule="auto"/>
              <w:ind w:firstLine="392" w:firstLineChars="200"/>
              <w:rPr>
                <w:rFonts w:hint="default" w:ascii="Times New Roman" w:hAnsi="Times New Roman" w:eastAsia="方正仿宋_GBK" w:cs="Times New Roman"/>
                <w:b/>
                <w:bCs/>
                <w:sz w:val="20"/>
                <w:szCs w:val="20"/>
                <w:lang w:val="en-US" w:eastAsia="zh-CN"/>
              </w:rPr>
            </w:pPr>
            <w:r>
              <w:rPr>
                <w:rFonts w:hint="default" w:ascii="Times New Roman" w:hAnsi="Times New Roman" w:eastAsia="方正仿宋_GBK" w:cs="Times New Roman"/>
                <w:b/>
                <w:bCs/>
                <w:sz w:val="20"/>
                <w:szCs w:val="20"/>
                <w:lang w:val="en-US" w:eastAsia="zh-CN"/>
              </w:rPr>
              <w:t>2.社会效益</w:t>
            </w:r>
          </w:p>
          <w:p w14:paraId="32993793">
            <w:pPr>
              <w:overflowPunct/>
              <w:bidi w:val="0"/>
              <w:adjustRightInd/>
              <w:snapToGrid w:val="0"/>
              <w:spacing w:line="240" w:lineRule="auto"/>
              <w:ind w:firstLine="392" w:firstLineChars="200"/>
              <w:rPr>
                <w:rFonts w:hint="default" w:ascii="Times New Roman" w:hAnsi="Times New Roman" w:eastAsia="方正仿宋_GBK" w:cs="Times New Roman"/>
                <w:kern w:val="0"/>
                <w:sz w:val="20"/>
                <w:szCs w:val="20"/>
              </w:rPr>
            </w:pPr>
            <w:r>
              <w:rPr>
                <w:rFonts w:hint="default" w:ascii="Times New Roman" w:hAnsi="Times New Roman" w:eastAsia="方正仿宋_GBK" w:cs="Times New Roman"/>
                <w:kern w:val="0"/>
                <w:sz w:val="20"/>
                <w:szCs w:val="20"/>
              </w:rPr>
              <w:t>安宁市作为全省磷石膏主要产生区域，项目实施能够有效提升区域磷石膏无害化处理能力和综合利用水平，为提升和保障区域固体废物处理处置作出重要贡献；昆明市作为全省“无废城市”建设试点示范城市，项目的实施是推动“无废社会”建设的有力抓手，是提升生态文明、建设美丽中国的重要举措；天安化工作为全省最重要的磷复肥生产企业之一，推进湿法磷酸清洁生产、磷石膏不落地净化、智能化、无害化处理技术研发，对引领行业绿色低碳发展具有重要的示范效应；围绕本项目的药剂制备、磷石膏无害化处理、矿山生态修复工程提供大量就业岗位，为促进当地社会稳定、经济稳定可持续发展作出积极贡献。</w:t>
            </w:r>
          </w:p>
          <w:p w14:paraId="693683DB">
            <w:pPr>
              <w:overflowPunct/>
              <w:bidi w:val="0"/>
              <w:adjustRightInd/>
              <w:snapToGrid w:val="0"/>
              <w:spacing w:line="240" w:lineRule="auto"/>
              <w:ind w:firstLine="392" w:firstLineChars="200"/>
              <w:rPr>
                <w:rFonts w:hint="default" w:ascii="Times New Roman" w:hAnsi="Times New Roman" w:eastAsia="方正仿宋_GBK" w:cs="Times New Roman"/>
                <w:b/>
                <w:bCs/>
                <w:sz w:val="20"/>
                <w:szCs w:val="20"/>
                <w:lang w:val="en-US" w:eastAsia="zh-CN"/>
              </w:rPr>
            </w:pPr>
            <w:r>
              <w:rPr>
                <w:rFonts w:hint="default" w:ascii="Times New Roman" w:hAnsi="Times New Roman" w:eastAsia="方正仿宋_GBK" w:cs="Times New Roman"/>
                <w:b/>
                <w:bCs/>
                <w:sz w:val="20"/>
                <w:szCs w:val="20"/>
                <w:lang w:val="en-US" w:eastAsia="zh-CN"/>
              </w:rPr>
              <w:t>3.生态效益</w:t>
            </w:r>
          </w:p>
          <w:p w14:paraId="34316852">
            <w:pPr>
              <w:overflowPunct/>
              <w:bidi w:val="0"/>
              <w:adjustRightInd/>
              <w:snapToGrid w:val="0"/>
              <w:spacing w:line="240" w:lineRule="auto"/>
              <w:ind w:firstLine="392" w:firstLineChars="200"/>
              <w:rPr>
                <w:rFonts w:hint="default" w:ascii="Times New Roman" w:hAnsi="Times New Roman" w:eastAsia="方正仿宋_GBK" w:cs="Times New Roman"/>
                <w:kern w:val="0"/>
                <w:sz w:val="20"/>
                <w:szCs w:val="20"/>
              </w:rPr>
            </w:pPr>
            <w:r>
              <w:rPr>
                <w:rFonts w:hint="default" w:ascii="Times New Roman" w:hAnsi="Times New Roman" w:eastAsia="方正仿宋_GBK" w:cs="Times New Roman"/>
                <w:kern w:val="0"/>
                <w:sz w:val="20"/>
                <w:szCs w:val="20"/>
              </w:rPr>
              <w:t>本项目实施改变了传统以堆存为主的磷石膏处置方式，直接避免磷石膏堆场对周边环境造成的安全、生态环境风险，尤其是对推进长江大保护作出突出贡献；磷石膏污染防治，一头连着减污，一头连着降碳，本项目采用固体废物协同处理，从源头提高资源回收率、降低磷石膏环境污染风险，采用固废协同提高其他固体废物资源化的同时降低后段磷石膏无害化处理、综合利用碳排放；本项目生产工艺无废气、废水、固体废物产生，生产设施密闭，全过程磷石膏不落地，与传统磷石膏无害化处理技术相比，极大程度消除生产过程的二次污染风险。</w:t>
            </w:r>
          </w:p>
        </w:tc>
      </w:tr>
      <w:tr w14:paraId="551E0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557A185E">
            <w:pPr>
              <w:overflowPunct/>
              <w:bidi w:val="0"/>
              <w:adjustRightInd/>
              <w:snapToGrid w:val="0"/>
              <w:spacing w:line="240" w:lineRule="auto"/>
              <w:ind w:firstLine="0" w:firstLineChars="0"/>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时限要求</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4A6BEA1E">
            <w:pPr>
              <w:overflowPunct/>
              <w:bidi w:val="0"/>
              <w:adjustRightInd/>
              <w:snapToGrid w:val="0"/>
              <w:spacing w:line="360" w:lineRule="exact"/>
              <w:ind w:firstLine="392" w:firstLineChars="200"/>
              <w:rPr>
                <w:rFonts w:hint="default" w:ascii="Times New Roman" w:hAnsi="Times New Roman" w:eastAsia="方正仿宋_GBK" w:cs="Times New Roman"/>
                <w:sz w:val="20"/>
                <w:szCs w:val="20"/>
              </w:rPr>
            </w:pPr>
            <w:r>
              <w:rPr>
                <w:rFonts w:hint="default" w:ascii="Times New Roman" w:hAnsi="Times New Roman" w:eastAsia="方正仿宋_GBK" w:cs="Times New Roman"/>
                <w:sz w:val="20"/>
                <w:szCs w:val="20"/>
              </w:rPr>
              <w:t>完成时限3年</w:t>
            </w:r>
          </w:p>
        </w:tc>
      </w:tr>
      <w:tr w14:paraId="1D4D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1539" w:type="dxa"/>
            <w:tcBorders>
              <w:top w:val="single" w:color="auto" w:sz="4" w:space="0"/>
              <w:left w:val="single" w:color="auto" w:sz="4" w:space="0"/>
              <w:bottom w:val="single" w:color="auto" w:sz="4" w:space="0"/>
              <w:right w:val="single" w:color="auto" w:sz="4" w:space="0"/>
            </w:tcBorders>
            <w:noWrap w:val="0"/>
            <w:vAlign w:val="center"/>
          </w:tcPr>
          <w:p w14:paraId="489FE96E">
            <w:pPr>
              <w:overflowPunct/>
              <w:bidi w:val="0"/>
              <w:adjustRightInd/>
              <w:snapToGrid w:val="0"/>
              <w:spacing w:line="240" w:lineRule="auto"/>
              <w:ind w:firstLine="0" w:firstLineChars="0"/>
              <w:jc w:val="center"/>
              <w:rPr>
                <w:rFonts w:hint="default" w:ascii="Times New Roman" w:hAnsi="Times New Roman" w:eastAsia="宋体" w:cs="Times New Roman"/>
                <w:b/>
                <w:bCs/>
                <w:kern w:val="0"/>
                <w:sz w:val="20"/>
                <w:szCs w:val="20"/>
              </w:rPr>
            </w:pPr>
            <w:r>
              <w:rPr>
                <w:rFonts w:hint="default" w:ascii="Times New Roman" w:hAnsi="Times New Roman" w:eastAsia="宋体" w:cs="Times New Roman"/>
                <w:b/>
                <w:bCs/>
                <w:kern w:val="0"/>
                <w:sz w:val="20"/>
                <w:szCs w:val="20"/>
              </w:rPr>
              <w:t>产权归属</w:t>
            </w:r>
          </w:p>
        </w:tc>
        <w:tc>
          <w:tcPr>
            <w:tcW w:w="7019" w:type="dxa"/>
            <w:gridSpan w:val="6"/>
            <w:tcBorders>
              <w:top w:val="single" w:color="auto" w:sz="4" w:space="0"/>
              <w:left w:val="single" w:color="auto" w:sz="4" w:space="0"/>
              <w:bottom w:val="single" w:color="auto" w:sz="4" w:space="0"/>
              <w:right w:val="single" w:color="auto" w:sz="4" w:space="0"/>
            </w:tcBorders>
            <w:noWrap w:val="0"/>
            <w:vAlign w:val="center"/>
          </w:tcPr>
          <w:p w14:paraId="33B5E862">
            <w:pPr>
              <w:overflowPunct/>
              <w:bidi w:val="0"/>
              <w:adjustRightInd/>
              <w:snapToGrid w:val="0"/>
              <w:spacing w:line="240" w:lineRule="auto"/>
              <w:ind w:firstLine="392" w:firstLineChars="200"/>
              <w:rPr>
                <w:rFonts w:hint="default" w:ascii="Times New Roman" w:hAnsi="Times New Roman" w:eastAsia="方正仿宋_GBK" w:cs="Times New Roman"/>
                <w:kern w:val="0"/>
                <w:sz w:val="20"/>
                <w:szCs w:val="20"/>
              </w:rPr>
            </w:pPr>
            <w:r>
              <w:rPr>
                <w:rFonts w:hint="default" w:ascii="Times New Roman" w:hAnsi="Times New Roman" w:eastAsia="方正仿宋_GBK" w:cs="Times New Roman"/>
                <w:kern w:val="0"/>
                <w:sz w:val="20"/>
                <w:szCs w:val="20"/>
              </w:rPr>
              <w:t>合作过程中产生的知识产权归双方共同所有，各方有权利按照合同要求合理使用和转让相关知识产权。合作过程中产生的知识产权，包括专利、商标、著作权等，双方应本着友好公平的原则，根据具体的贡献，协商决定需求企业和揭榜单位的权益分配比例。</w:t>
            </w:r>
          </w:p>
        </w:tc>
      </w:tr>
    </w:tbl>
    <w:p w14:paraId="541ABA3A">
      <w:pPr>
        <w:overflowPunct w:val="0"/>
        <w:bidi w:val="0"/>
        <w:adjustRightInd w:val="0"/>
        <w:snapToGrid w:val="0"/>
        <w:spacing w:line="560" w:lineRule="atLeast"/>
        <w:ind w:firstLine="632" w:firstLineChars="200"/>
        <w:rPr>
          <w:rFonts w:hint="default" w:ascii="Times New Roman" w:hAnsi="Times New Roman" w:eastAsia="方正仿宋_GBK" w:cs="Times New Roman"/>
          <w:szCs w:val="24"/>
        </w:rPr>
      </w:pPr>
    </w:p>
    <w:p w14:paraId="685E9CA6">
      <w:pPr>
        <w:overflowPunct w:val="0"/>
        <w:bidi w:val="0"/>
        <w:adjustRightInd w:val="0"/>
        <w:snapToGrid w:val="0"/>
        <w:spacing w:line="560" w:lineRule="atLeast"/>
        <w:ind w:left="0" w:leftChars="0" w:firstLine="0" w:firstLineChars="0"/>
        <w:rPr>
          <w:rFonts w:hint="default" w:ascii="Times New Roman" w:hAnsi="Times New Roman" w:eastAsia="方正仿宋_GBK" w:cs="Times New Roman"/>
          <w:szCs w:val="24"/>
          <w:lang w:val="en-US" w:eastAsia="zh-CN"/>
        </w:rPr>
      </w:pPr>
    </w:p>
    <w:p w14:paraId="7263BA96">
      <w:pPr>
        <w:snapToGrid w:val="0"/>
        <w:rPr>
          <w:rFonts w:hint="default" w:ascii="Times New Roman" w:hAnsi="Times New Roman" w:cs="Times New Roman"/>
        </w:rPr>
      </w:pPr>
    </w:p>
    <w:p w14:paraId="5A716631">
      <w:bookmarkStart w:id="2" w:name="_GoBack"/>
      <w:bookmarkEnd w:id="2"/>
    </w:p>
    <w:sectPr>
      <w:headerReference r:id="rId3" w:type="default"/>
      <w:footerReference r:id="rId4" w:type="default"/>
      <w:footerReference r:id="rId5" w:type="even"/>
      <w:pgSz w:w="11907" w:h="16840"/>
      <w:pgMar w:top="2098" w:right="1531" w:bottom="1985" w:left="1531" w:header="851" w:footer="1588" w:gutter="0"/>
      <w:cols w:space="720" w:num="1"/>
      <w:docGrid w:type="linesAndChars" w:linePitch="560"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仿宋_GBK">
    <w:panose1 w:val="03000509000000000000"/>
    <w:charset w:val="86"/>
    <w:family w:val="auto"/>
    <w:pitch w:val="default"/>
    <w:sig w:usb0="00000001" w:usb1="080E0000" w:usb2="00000000" w:usb3="00000000" w:csb0="00040000" w:csb1="00000000"/>
  </w:font>
  <w:font w:name="等线">
    <w:altName w:val="微软雅黑"/>
    <w:panose1 w:val="02010600030101010101"/>
    <w:charset w:val="00"/>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楷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0E58C">
    <w:pPr>
      <w:pStyle w:val="2"/>
      <w:framePr w:wrap="around" w:vAnchor="text" w:hAnchor="margin" w:xAlign="outside" w:y="1"/>
      <w:wordWrap w:val="0"/>
      <w:jc w:val="right"/>
      <w:rPr>
        <w:rStyle w:val="6"/>
        <w:sz w:val="28"/>
        <w:szCs w:val="28"/>
      </w:rPr>
    </w:pPr>
    <w:r>
      <w:rPr>
        <w:rStyle w:val="6"/>
        <w:rFonts w:hint="eastAsia"/>
        <w:sz w:val="28"/>
        <w:szCs w:val="28"/>
      </w:rPr>
      <w:t xml:space="preserve">　— </w:t>
    </w: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1</w:t>
    </w:r>
    <w:r>
      <w:rPr>
        <w:rStyle w:val="6"/>
        <w:sz w:val="28"/>
        <w:szCs w:val="28"/>
      </w:rPr>
      <w:fldChar w:fldCharType="end"/>
    </w:r>
    <w:r>
      <w:rPr>
        <w:rStyle w:val="6"/>
        <w:rFonts w:hint="eastAsia"/>
        <w:sz w:val="28"/>
        <w:szCs w:val="28"/>
      </w:rPr>
      <w:t xml:space="preserve"> —　</w:t>
    </w:r>
  </w:p>
  <w:p w14:paraId="34948F25">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12C4D">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separate"/>
    </w:r>
    <w:r>
      <w:rPr>
        <w:rStyle w:val="6"/>
      </w:rPr>
      <w:fldChar w:fldCharType="end"/>
    </w:r>
  </w:p>
  <w:p w14:paraId="35F8F829">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203F7">
    <w:pPr>
      <w:pStyle w:val="3"/>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8479E8"/>
    <w:rsid w:val="031B3B28"/>
    <w:rsid w:val="46217C1A"/>
    <w:rsid w:val="55324FD5"/>
    <w:rsid w:val="68916D9B"/>
    <w:rsid w:val="738479E8"/>
    <w:rsid w:val="78625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云南省科学技术厅</Company>
  <Pages>4</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2025-03-17T01:58:00Z</dcterms:created>
  <dc:creator>刘薇</dc:creator>
  <cp:lastModifiedBy>刘薇</cp:lastModifiedBy>
  <dcterms:modified xsi:type="dcterms:W3CDTF">2025-03-17T07:06:35Z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BFEAC016476B4602AF00DCCBCD6BDD08_13</vt:lpwstr>
  </property>
  <property fmtid="{D5CDD505-2E9C-101B-9397-08002B2CF9AE}" pid="4" name="KSOTemplateDocerSaveRecord">
    <vt:lpwstr>eyJoZGlkIjoiMTk4NTcxMzRkYzdlNTMxZjZjMTg0MDc0ZmQxYWUzYzgiLCJ1c2VySWQiOiIxNjgyNTQ2NDk4In0=</vt:lpwstr>
  </property>
</Properties>
</file>